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FEC" w:rsidRPr="00AC0EAB" w:rsidRDefault="00C53FEC" w:rsidP="00C53FEC">
      <w:pPr>
        <w:spacing w:before="100" w:beforeAutospacing="1" w:after="100" w:afterAutospacing="1"/>
        <w:jc w:val="center"/>
        <w:rPr>
          <w:rFonts w:ascii="Arial" w:hAnsi="Arial" w:cs="Arial"/>
          <w:b/>
          <w:bCs/>
          <w:i/>
          <w:iCs/>
          <w:sz w:val="24"/>
          <w:szCs w:val="24"/>
          <w:u w:val="single"/>
        </w:rPr>
      </w:pPr>
      <w:r w:rsidRPr="00AC0EAB">
        <w:rPr>
          <w:rFonts w:ascii="Arial" w:hAnsi="Arial" w:cs="Arial"/>
          <w:b/>
          <w:bCs/>
          <w:i/>
          <w:iCs/>
          <w:sz w:val="24"/>
          <w:szCs w:val="24"/>
          <w:u w:val="single"/>
        </w:rPr>
        <w:t>TERMO DE REFERÊNCIA</w:t>
      </w:r>
    </w:p>
    <w:p w:rsidR="00C53FEC" w:rsidRPr="00AC0EAB" w:rsidRDefault="00C53FEC" w:rsidP="00C53FEC">
      <w:pPr>
        <w:spacing w:before="100" w:beforeAutospacing="1" w:after="100" w:afterAutospacing="1"/>
        <w:jc w:val="both"/>
        <w:rPr>
          <w:rFonts w:ascii="Arial" w:hAnsi="Arial" w:cs="Arial"/>
          <w:b/>
          <w:sz w:val="24"/>
          <w:szCs w:val="24"/>
        </w:rPr>
      </w:pPr>
      <w:r w:rsidRPr="00AC0EAB">
        <w:rPr>
          <w:rFonts w:ascii="Arial" w:hAnsi="Arial" w:cs="Arial"/>
          <w:b/>
          <w:sz w:val="24"/>
          <w:szCs w:val="24"/>
        </w:rPr>
        <w:t>1. Da definição do objeto</w:t>
      </w:r>
    </w:p>
    <w:p w:rsidR="00C53FEC" w:rsidRPr="00AC0EAB" w:rsidRDefault="00C53FEC" w:rsidP="00C53FEC">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1.1. </w:t>
      </w:r>
      <w:r w:rsidRPr="00E33150">
        <w:rPr>
          <w:rFonts w:ascii="Arial" w:hAnsi="Arial" w:cs="Arial"/>
          <w:sz w:val="23"/>
          <w:szCs w:val="23"/>
        </w:rPr>
        <w:t xml:space="preserve">Contratação do </w:t>
      </w:r>
      <w:r w:rsidRPr="00E33150">
        <w:rPr>
          <w:rFonts w:ascii="Arial" w:hAnsi="Arial" w:cs="Arial"/>
        </w:rPr>
        <w:t>show artístico com</w:t>
      </w:r>
      <w:r>
        <w:rPr>
          <w:rFonts w:ascii="Arial" w:hAnsi="Arial" w:cs="Arial"/>
        </w:rPr>
        <w:t xml:space="preserve"> “ALEMÃO DO PIZEIRO</w:t>
      </w:r>
      <w:r w:rsidRPr="00E33150">
        <w:rPr>
          <w:rFonts w:ascii="Arial" w:hAnsi="Arial" w:cs="Arial"/>
        </w:rPr>
        <w:t xml:space="preserve">”, para animação da “Festa Junina” </w:t>
      </w:r>
      <w:r>
        <w:rPr>
          <w:rFonts w:ascii="Arial" w:hAnsi="Arial" w:cs="Arial"/>
        </w:rPr>
        <w:t xml:space="preserve">do Cras </w:t>
      </w:r>
      <w:r w:rsidRPr="00E33150">
        <w:rPr>
          <w:rFonts w:ascii="Arial" w:hAnsi="Arial" w:cs="Arial"/>
        </w:rPr>
        <w:t xml:space="preserve">do ano de 2025, </w:t>
      </w:r>
      <w:r>
        <w:rPr>
          <w:rFonts w:ascii="Arial" w:hAnsi="Arial" w:cs="Arial"/>
        </w:rPr>
        <w:t>para Secretaria de Assistência Social d</w:t>
      </w:r>
      <w:r w:rsidRPr="00E33150">
        <w:rPr>
          <w:rFonts w:ascii="Arial" w:hAnsi="Arial" w:cs="Arial"/>
        </w:rPr>
        <w:t>o município de Santo Antônio do Grama/MG</w:t>
      </w:r>
      <w:r w:rsidRPr="00AC0EAB">
        <w:rPr>
          <w:rFonts w:ascii="Arial" w:hAnsi="Arial" w:cs="Arial"/>
          <w:sz w:val="24"/>
          <w:szCs w:val="24"/>
        </w:rPr>
        <w:t>, conforme condições, quantidades e exigências estabelecidas neste Termo de Referência – TR.</w:t>
      </w:r>
    </w:p>
    <w:p w:rsidR="00C53FEC" w:rsidRPr="00AC0EAB" w:rsidRDefault="00C53FEC" w:rsidP="00C53FEC">
      <w:pPr>
        <w:spacing w:before="100" w:beforeAutospacing="1" w:after="100" w:afterAutospacing="1"/>
        <w:jc w:val="both"/>
        <w:rPr>
          <w:rFonts w:ascii="Arial" w:hAnsi="Arial" w:cs="Arial"/>
          <w:b/>
          <w:sz w:val="24"/>
          <w:szCs w:val="24"/>
        </w:rPr>
      </w:pPr>
      <w:r w:rsidRPr="00AC0EAB">
        <w:rPr>
          <w:rFonts w:ascii="Arial" w:hAnsi="Arial" w:cs="Arial"/>
          <w:b/>
          <w:sz w:val="24"/>
          <w:szCs w:val="24"/>
        </w:rPr>
        <w:t>2. Da fundamentação da contratação administrativa</w:t>
      </w:r>
    </w:p>
    <w:p w:rsidR="00C53FEC" w:rsidRPr="00AC0EAB" w:rsidRDefault="00C53FEC" w:rsidP="00C53FEC">
      <w:pPr>
        <w:spacing w:before="100" w:beforeAutospacing="1" w:after="100" w:afterAutospacing="1"/>
        <w:jc w:val="both"/>
        <w:rPr>
          <w:rFonts w:ascii="Arial" w:hAnsi="Arial" w:cs="Arial"/>
          <w:sz w:val="24"/>
          <w:szCs w:val="24"/>
        </w:rPr>
      </w:pPr>
      <w:r w:rsidRPr="00AC0EAB">
        <w:rPr>
          <w:rFonts w:ascii="Arial" w:hAnsi="Arial" w:cs="Arial"/>
          <w:sz w:val="24"/>
          <w:szCs w:val="24"/>
        </w:rPr>
        <w:t>2.1. A fundamentação da contratação administrativa como um todo está no Estudo Técnico Preliminar – ETP – (§ 1º do art. 18 da Lei nº. 14.133/2021).</w:t>
      </w:r>
    </w:p>
    <w:p w:rsidR="00C53FEC" w:rsidRPr="00AC0EAB" w:rsidRDefault="00C53FEC" w:rsidP="00C53FEC">
      <w:pPr>
        <w:spacing w:before="100" w:beforeAutospacing="1" w:after="100" w:afterAutospacing="1"/>
        <w:jc w:val="both"/>
        <w:rPr>
          <w:rFonts w:ascii="Arial" w:hAnsi="Arial" w:cs="Arial"/>
          <w:b/>
          <w:sz w:val="24"/>
          <w:szCs w:val="24"/>
        </w:rPr>
      </w:pPr>
      <w:r w:rsidRPr="00AC0EAB">
        <w:rPr>
          <w:rFonts w:ascii="Arial" w:hAnsi="Arial" w:cs="Arial"/>
          <w:b/>
          <w:sz w:val="24"/>
          <w:szCs w:val="24"/>
        </w:rPr>
        <w:t>3. Da descrição da solução como um todo, considerando todo o ciclo de vida do objeto</w:t>
      </w:r>
    </w:p>
    <w:p w:rsidR="00C53FEC" w:rsidRPr="00AC0EAB" w:rsidRDefault="00C53FEC" w:rsidP="00C53FEC">
      <w:pPr>
        <w:spacing w:before="100" w:beforeAutospacing="1" w:after="100" w:afterAutospacing="1"/>
        <w:jc w:val="both"/>
        <w:rPr>
          <w:rFonts w:ascii="Arial" w:hAnsi="Arial" w:cs="Arial"/>
          <w:sz w:val="24"/>
          <w:szCs w:val="24"/>
        </w:rPr>
      </w:pPr>
      <w:r w:rsidRPr="00AC0EAB">
        <w:rPr>
          <w:rFonts w:ascii="Arial" w:hAnsi="Arial" w:cs="Arial"/>
          <w:sz w:val="24"/>
          <w:szCs w:val="24"/>
        </w:rPr>
        <w:t>3.1. A descrição da solução como um todo está no ETP (inciso VII do § 1º do art. 18 da Lei nº. 14.133/2021).</w:t>
      </w:r>
    </w:p>
    <w:p w:rsidR="00C53FEC" w:rsidRPr="00AC0EAB" w:rsidRDefault="00C53FEC" w:rsidP="00C53FEC">
      <w:pPr>
        <w:spacing w:before="100" w:beforeAutospacing="1" w:after="100" w:afterAutospacing="1"/>
        <w:jc w:val="both"/>
        <w:rPr>
          <w:rFonts w:ascii="Arial" w:hAnsi="Arial" w:cs="Arial"/>
          <w:b/>
          <w:sz w:val="24"/>
          <w:szCs w:val="24"/>
        </w:rPr>
      </w:pPr>
      <w:r w:rsidRPr="00AC0EAB">
        <w:rPr>
          <w:rFonts w:ascii="Arial" w:hAnsi="Arial" w:cs="Arial"/>
          <w:b/>
          <w:sz w:val="24"/>
          <w:szCs w:val="24"/>
        </w:rPr>
        <w:t>4. Dos requisitos da contratação administrativa</w:t>
      </w:r>
    </w:p>
    <w:p w:rsidR="00C53FEC" w:rsidRPr="00AC0EAB" w:rsidRDefault="00C53FEC" w:rsidP="00C53FEC">
      <w:pPr>
        <w:spacing w:before="100" w:beforeAutospacing="1" w:after="100" w:afterAutospacing="1"/>
        <w:jc w:val="both"/>
        <w:rPr>
          <w:rFonts w:ascii="Arial" w:hAnsi="Arial" w:cs="Arial"/>
          <w:sz w:val="24"/>
          <w:szCs w:val="24"/>
        </w:rPr>
      </w:pPr>
      <w:r w:rsidRPr="00AC0EAB">
        <w:rPr>
          <w:rFonts w:ascii="Arial" w:hAnsi="Arial" w:cs="Arial"/>
          <w:sz w:val="24"/>
          <w:szCs w:val="24"/>
        </w:rPr>
        <w:t>4.1. Os requisitos da contratação administrativa estão no ETP (inciso III do § 1º do art. 18 da Lei nº. 14.133/2021).</w:t>
      </w:r>
    </w:p>
    <w:p w:rsidR="00C53FEC" w:rsidRPr="00AC0EAB" w:rsidRDefault="00C53FEC" w:rsidP="00C53FEC">
      <w:pPr>
        <w:spacing w:before="100" w:beforeAutospacing="1" w:after="100" w:afterAutospacing="1"/>
        <w:jc w:val="both"/>
        <w:rPr>
          <w:rFonts w:ascii="Arial" w:hAnsi="Arial" w:cs="Arial"/>
          <w:b/>
          <w:sz w:val="24"/>
          <w:szCs w:val="24"/>
        </w:rPr>
      </w:pPr>
      <w:r w:rsidRPr="00AC0EAB">
        <w:rPr>
          <w:rFonts w:ascii="Arial" w:hAnsi="Arial" w:cs="Arial"/>
          <w:b/>
          <w:sz w:val="24"/>
          <w:szCs w:val="24"/>
        </w:rPr>
        <w:t>5. Do modelo de execução do objeto</w:t>
      </w:r>
    </w:p>
    <w:p w:rsidR="00C53FEC" w:rsidRPr="00AC0EAB" w:rsidRDefault="00C53FEC" w:rsidP="00C53FEC">
      <w:pPr>
        <w:tabs>
          <w:tab w:val="left" w:pos="2268"/>
        </w:tabs>
        <w:spacing w:before="100" w:beforeAutospacing="1" w:after="100" w:afterAutospacing="1"/>
        <w:jc w:val="both"/>
        <w:rPr>
          <w:rFonts w:ascii="Arial" w:eastAsiaTheme="minorHAnsi" w:hAnsi="Arial" w:cs="Arial"/>
          <w:sz w:val="24"/>
          <w:szCs w:val="24"/>
        </w:rPr>
      </w:pPr>
      <w:r w:rsidRPr="00AC0EAB">
        <w:rPr>
          <w:rFonts w:ascii="Arial" w:eastAsiaTheme="minorHAnsi" w:hAnsi="Arial" w:cs="Arial"/>
          <w:sz w:val="24"/>
          <w:szCs w:val="24"/>
        </w:rPr>
        <w:t>5.1. A execução do objeto seguirá a seguinte dinâmica:</w:t>
      </w:r>
    </w:p>
    <w:p w:rsidR="00C53FEC" w:rsidRPr="00AC0EAB" w:rsidRDefault="00C53FEC" w:rsidP="00C53FEC">
      <w:pPr>
        <w:tabs>
          <w:tab w:val="left" w:pos="2268"/>
        </w:tabs>
        <w:spacing w:before="100" w:beforeAutospacing="1" w:after="100" w:afterAutospacing="1"/>
        <w:jc w:val="both"/>
        <w:rPr>
          <w:rFonts w:ascii="Arial" w:eastAsiaTheme="minorHAnsi" w:hAnsi="Arial" w:cs="Arial"/>
          <w:sz w:val="24"/>
          <w:szCs w:val="24"/>
        </w:rPr>
      </w:pPr>
      <w:r w:rsidRPr="00AC0EAB">
        <w:rPr>
          <w:rFonts w:ascii="Arial" w:eastAsiaTheme="minorHAnsi" w:hAnsi="Arial" w:cs="Arial"/>
          <w:bCs/>
          <w:sz w:val="24"/>
          <w:szCs w:val="24"/>
        </w:rPr>
        <w:t xml:space="preserve">5.1.1. Na data de </w:t>
      </w:r>
      <w:r>
        <w:rPr>
          <w:rFonts w:ascii="Arial" w:eastAsiaTheme="minorHAnsi" w:hAnsi="Arial" w:cs="Arial"/>
          <w:bCs/>
          <w:sz w:val="24"/>
          <w:szCs w:val="24"/>
        </w:rPr>
        <w:t>21 de junho</w:t>
      </w:r>
      <w:r>
        <w:rPr>
          <w:rFonts w:ascii="Arial" w:eastAsiaTheme="minorHAnsi" w:hAnsi="Arial" w:cs="Arial"/>
          <w:sz w:val="24"/>
          <w:szCs w:val="24"/>
        </w:rPr>
        <w:t xml:space="preserve"> de 2025 na Festa Junina do Cras, às 20hrs00min, com duração de 02hrs30min de show na Rua Anizio José dos Santos</w:t>
      </w:r>
      <w:r w:rsidRPr="00AC0EAB">
        <w:rPr>
          <w:rFonts w:ascii="Arial" w:eastAsiaTheme="minorHAnsi" w:hAnsi="Arial" w:cs="Arial"/>
          <w:sz w:val="24"/>
          <w:szCs w:val="24"/>
        </w:rPr>
        <w:t>.</w:t>
      </w:r>
    </w:p>
    <w:p w:rsidR="00C53FEC" w:rsidRPr="00AC0EAB" w:rsidRDefault="00C53FEC" w:rsidP="00C53FEC">
      <w:pPr>
        <w:spacing w:after="160" w:line="300" w:lineRule="auto"/>
        <w:jc w:val="both"/>
        <w:rPr>
          <w:rFonts w:ascii="Arial" w:eastAsiaTheme="minorHAnsi" w:hAnsi="Arial" w:cs="Arial"/>
          <w:bCs/>
          <w:sz w:val="24"/>
          <w:szCs w:val="24"/>
        </w:rPr>
      </w:pPr>
      <w:r w:rsidRPr="00AC0EAB">
        <w:rPr>
          <w:rFonts w:ascii="Arial" w:eastAsiaTheme="minorHAnsi" w:hAnsi="Arial" w:cs="Arial"/>
          <w:bCs/>
          <w:sz w:val="24"/>
          <w:szCs w:val="24"/>
        </w:rPr>
        <w:t>5.2. Os serviços serão recebidos provisoriamente, de forma sumária, no prazo de dois</w:t>
      </w:r>
      <w:r w:rsidRPr="00AC0EAB">
        <w:rPr>
          <w:rFonts w:ascii="Arial" w:eastAsiaTheme="minorHAnsi" w:hAnsi="Arial" w:cs="Arial"/>
          <w:bCs/>
          <w:color w:val="FF0000"/>
          <w:sz w:val="24"/>
          <w:szCs w:val="24"/>
        </w:rPr>
        <w:t xml:space="preserve"> </w:t>
      </w:r>
      <w:r w:rsidRPr="00AC0EAB">
        <w:rPr>
          <w:rFonts w:ascii="Arial" w:eastAsiaTheme="minorHAnsi" w:hAnsi="Arial" w:cs="Arial"/>
          <w:bCs/>
          <w:sz w:val="24"/>
          <w:szCs w:val="24"/>
        </w:rPr>
        <w:t>dias úteis, pelo(a) servidor(a) público(a) municipal pelo acompanhamento e fiscalização do contrato administrativo, para efeito de posterior verificação de sua conformidade com as especificações constantes neste TR e na proposta.</w:t>
      </w:r>
    </w:p>
    <w:p w:rsidR="00C53FEC" w:rsidRPr="00AC0EAB" w:rsidRDefault="00C53FEC" w:rsidP="00C53FEC">
      <w:pPr>
        <w:spacing w:after="160" w:line="300" w:lineRule="auto"/>
        <w:jc w:val="both"/>
        <w:rPr>
          <w:rFonts w:ascii="Arial" w:eastAsiaTheme="minorHAnsi" w:hAnsi="Arial" w:cs="Arial"/>
          <w:bCs/>
          <w:color w:val="FF0000"/>
          <w:sz w:val="24"/>
          <w:szCs w:val="24"/>
        </w:rPr>
      </w:pPr>
      <w:r w:rsidRPr="00AC0EAB">
        <w:rPr>
          <w:rFonts w:ascii="Arial" w:eastAsiaTheme="minorHAnsi" w:hAnsi="Arial" w:cs="Arial"/>
          <w:bCs/>
          <w:sz w:val="24"/>
          <w:szCs w:val="24"/>
        </w:rPr>
        <w:t>5.2.1. O recebimento provisório poderá ser efetivado no atesto da nota fiscal pelo(a) servidor(a) público(a) municipal pelo acompanhamento e fiscalização do contrato administrativo.</w:t>
      </w:r>
    </w:p>
    <w:p w:rsidR="00C53FEC" w:rsidRPr="00AC0EAB" w:rsidRDefault="00C53FEC" w:rsidP="00C53FEC">
      <w:pPr>
        <w:spacing w:after="160" w:line="300" w:lineRule="auto"/>
        <w:jc w:val="both"/>
        <w:rPr>
          <w:rFonts w:ascii="Arial" w:eastAsiaTheme="minorHAnsi" w:hAnsi="Arial" w:cs="Arial"/>
          <w:bCs/>
          <w:sz w:val="24"/>
          <w:szCs w:val="24"/>
        </w:rPr>
      </w:pPr>
      <w:r w:rsidRPr="00AC0EAB">
        <w:rPr>
          <w:rFonts w:ascii="Arial" w:eastAsiaTheme="minorHAnsi" w:hAnsi="Arial" w:cs="Arial"/>
          <w:bCs/>
          <w:sz w:val="24"/>
          <w:szCs w:val="24"/>
        </w:rPr>
        <w:t xml:space="preserve">5.3. Os serviços poderão ser rejeitados, no todo ou em parte, quando em desacordo com as especificações constantes neste TR e na proposta, devendo </w:t>
      </w:r>
      <w:r w:rsidRPr="00AC0EAB">
        <w:rPr>
          <w:rFonts w:ascii="Arial" w:eastAsiaTheme="minorHAnsi" w:hAnsi="Arial" w:cs="Arial"/>
          <w:bCs/>
          <w:sz w:val="24"/>
          <w:szCs w:val="24"/>
        </w:rPr>
        <w:lastRenderedPageBreak/>
        <w:t>ser realizado no prazo de trinta dias úteis, a contar da notificação do(a) contratado(a), às suas custas, sem prejuízo da aplicação das penalidades.</w:t>
      </w:r>
    </w:p>
    <w:p w:rsidR="00C53FEC" w:rsidRPr="00AC0EAB" w:rsidRDefault="00C53FEC" w:rsidP="00C53FEC">
      <w:pPr>
        <w:tabs>
          <w:tab w:val="left" w:pos="2268"/>
        </w:tabs>
        <w:spacing w:after="160" w:line="300" w:lineRule="auto"/>
        <w:jc w:val="both"/>
        <w:rPr>
          <w:rFonts w:ascii="Arial" w:hAnsi="Arial" w:cs="Arial"/>
          <w:b/>
          <w:sz w:val="24"/>
          <w:szCs w:val="24"/>
        </w:rPr>
      </w:pPr>
      <w:r w:rsidRPr="00AC0EAB">
        <w:rPr>
          <w:rFonts w:ascii="Arial" w:hAnsi="Arial" w:cs="Arial"/>
          <w:b/>
          <w:sz w:val="24"/>
          <w:szCs w:val="24"/>
        </w:rPr>
        <w:t>6. Do modelo de gestão do contrato administrativo</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color w:val="000000"/>
          <w:sz w:val="24"/>
          <w:szCs w:val="24"/>
        </w:rPr>
        <w:t xml:space="preserve">6.1. </w:t>
      </w:r>
      <w:r w:rsidRPr="00AC0EAB">
        <w:rPr>
          <w:rFonts w:ascii="Arial" w:eastAsiaTheme="minorHAnsi" w:hAnsi="Arial" w:cs="Arial"/>
          <w:sz w:val="24"/>
          <w:szCs w:val="24"/>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6.3. A execução do contrato administrativo deverá ser acompanhada e fiscalizada pelo(a) fiscal do contrato administrativos, ou pelos respectivos substitutos (art. 117 da Lei nº. 14.133/2021).</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 xml:space="preserve">6.4. </w:t>
      </w:r>
      <w:r w:rsidRPr="00AC0EAB">
        <w:rPr>
          <w:rFonts w:ascii="Arial" w:eastAsiaTheme="minorHAnsi" w:hAnsi="Arial" w:cs="Arial"/>
          <w:color w:val="000000"/>
          <w:sz w:val="24"/>
          <w:szCs w:val="24"/>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C53FEC" w:rsidRPr="00AC0EAB" w:rsidRDefault="00C53FEC" w:rsidP="00C53FEC">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C53FEC" w:rsidRPr="00AC0EAB" w:rsidRDefault="00C53FEC" w:rsidP="00C53FEC">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C53FEC" w:rsidRPr="00AC0EAB" w:rsidRDefault="00C53FEC" w:rsidP="00C53FEC">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 xml:space="preserve">6.8. Somente o(a) Contratado(a) será responsável pelos encargos trabalhistas, previdenciários, fiscais e comerciais resultantes da execução do contrato </w:t>
      </w:r>
      <w:r w:rsidRPr="00AC0EAB">
        <w:rPr>
          <w:rFonts w:ascii="Arial" w:eastAsiaTheme="minorHAnsi" w:hAnsi="Arial" w:cs="Arial"/>
          <w:sz w:val="24"/>
          <w:szCs w:val="24"/>
        </w:rPr>
        <w:lastRenderedPageBreak/>
        <w:t>administrativo (art. 121 da Lei nº. 14.133/2021).</w:t>
      </w:r>
    </w:p>
    <w:p w:rsidR="00C53FEC" w:rsidRPr="00AC0EAB" w:rsidRDefault="00C53FEC" w:rsidP="00C53FEC">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C53FEC" w:rsidRPr="00AC0EAB" w:rsidRDefault="00C53FEC" w:rsidP="00C53FEC">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6.10. As comunicações entre a Administração e o(a) contratado(a) devem ser realizadas por escrito sempre que o ato exigir tal formalidade, admitindo-se, excepcionalmente, o uso de mensagem eletrônica para esse fim, tal como: e-mail.</w:t>
      </w:r>
    </w:p>
    <w:p w:rsidR="00C53FEC" w:rsidRPr="00AC0EAB" w:rsidRDefault="00C53FEC" w:rsidP="00C53FEC">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6.11. A Administração poderá convocar representante do(a) licitante para adoção de providências que devam ser cumpridas de imediato.</w:t>
      </w:r>
    </w:p>
    <w:p w:rsidR="00C53FEC" w:rsidRPr="00AC0EAB" w:rsidRDefault="00C53FEC" w:rsidP="00C53FEC">
      <w:pPr>
        <w:tabs>
          <w:tab w:val="left" w:pos="1134"/>
        </w:tabs>
        <w:spacing w:after="160" w:line="300" w:lineRule="auto"/>
        <w:jc w:val="both"/>
        <w:rPr>
          <w:rFonts w:ascii="Arial" w:hAnsi="Arial" w:cs="Arial"/>
          <w:color w:val="000000"/>
          <w:sz w:val="24"/>
          <w:szCs w:val="24"/>
        </w:rPr>
      </w:pPr>
      <w:r w:rsidRPr="00AC0EAB">
        <w:rPr>
          <w:rFonts w:ascii="Arial" w:hAnsi="Arial" w:cs="Arial"/>
          <w:sz w:val="24"/>
          <w:szCs w:val="24"/>
        </w:rPr>
        <w:t xml:space="preserve">6.12. </w:t>
      </w:r>
      <w:r w:rsidRPr="00AC0EAB">
        <w:rPr>
          <w:rFonts w:ascii="Arial" w:hAnsi="Arial" w:cs="Arial"/>
          <w:color w:val="000000"/>
          <w:sz w:val="24"/>
          <w:szCs w:val="24"/>
        </w:rPr>
        <w:t xml:space="preserve">O(A) Contratado(a) deverá manter preposto aceito pela Administração no local do serviço para </w:t>
      </w:r>
      <w:r w:rsidRPr="00AC0EAB">
        <w:rPr>
          <w:rFonts w:ascii="Arial" w:hAnsi="Arial" w:cs="Arial"/>
          <w:sz w:val="24"/>
          <w:szCs w:val="24"/>
        </w:rPr>
        <w:t>representá</w:t>
      </w:r>
      <w:r w:rsidRPr="00AC0EAB">
        <w:rPr>
          <w:rFonts w:ascii="Arial" w:hAnsi="Arial" w:cs="Arial"/>
          <w:color w:val="000000"/>
          <w:sz w:val="24"/>
          <w:szCs w:val="24"/>
        </w:rPr>
        <w:t>-lo na execução do contrato administrativo (art. 118 da Lei nº 14.133/2021).</w:t>
      </w:r>
    </w:p>
    <w:p w:rsidR="00C53FEC" w:rsidRPr="00AC0EAB" w:rsidRDefault="00C53FEC" w:rsidP="00C53FEC">
      <w:pPr>
        <w:tabs>
          <w:tab w:val="left" w:pos="1134"/>
        </w:tabs>
        <w:spacing w:after="160" w:line="300" w:lineRule="auto"/>
        <w:jc w:val="both"/>
        <w:rPr>
          <w:rFonts w:ascii="Arial" w:hAnsi="Arial" w:cs="Arial"/>
          <w:sz w:val="24"/>
          <w:szCs w:val="24"/>
        </w:rPr>
      </w:pPr>
      <w:r w:rsidRPr="00AC0EAB">
        <w:rPr>
          <w:rFonts w:ascii="Arial" w:hAnsi="Arial" w:cs="Arial"/>
          <w:color w:val="000000"/>
          <w:sz w:val="24"/>
          <w:szCs w:val="24"/>
        </w:rPr>
        <w:t xml:space="preserve">6.13. </w:t>
      </w:r>
      <w:r w:rsidRPr="00AC0EAB">
        <w:rPr>
          <w:rFonts w:ascii="Arial" w:hAnsi="Arial" w:cs="Arial"/>
          <w:sz w:val="24"/>
          <w:szCs w:val="24"/>
        </w:rPr>
        <w:t>A indicação ou a manutenção do preposto do(a) Contratado(a) poderá ser recusada pelo contratante, desde que devidamente justificada, devendo o(a) contratado(a) designar outro para o exercício da atividade, no prazo indicado pelo fiscal.</w:t>
      </w:r>
    </w:p>
    <w:p w:rsidR="00C53FEC" w:rsidRPr="00AC0EAB" w:rsidRDefault="00C53FEC" w:rsidP="00C53FEC">
      <w:pPr>
        <w:tabs>
          <w:tab w:val="left" w:pos="1134"/>
        </w:tabs>
        <w:spacing w:after="160" w:line="300" w:lineRule="auto"/>
        <w:jc w:val="both"/>
        <w:rPr>
          <w:rFonts w:ascii="Arial" w:hAnsi="Arial" w:cs="Arial"/>
          <w:sz w:val="24"/>
          <w:szCs w:val="24"/>
        </w:rPr>
      </w:pPr>
      <w:r w:rsidRPr="00AC0EAB">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C53FEC" w:rsidRPr="00AC0EAB" w:rsidRDefault="00C53FEC" w:rsidP="00C53FEC">
      <w:pPr>
        <w:spacing w:after="160" w:line="300" w:lineRule="auto"/>
        <w:jc w:val="both"/>
        <w:rPr>
          <w:rFonts w:ascii="Arial" w:eastAsiaTheme="minorHAnsi" w:hAnsi="Arial" w:cs="Arial"/>
          <w:b/>
          <w:color w:val="000000"/>
          <w:sz w:val="24"/>
          <w:szCs w:val="24"/>
        </w:rPr>
      </w:pPr>
      <w:r w:rsidRPr="00AC0EAB">
        <w:rPr>
          <w:rFonts w:ascii="Arial" w:eastAsiaTheme="minorHAnsi" w:hAnsi="Arial" w:cs="Arial"/>
          <w:b/>
          <w:color w:val="000000"/>
          <w:sz w:val="24"/>
          <w:szCs w:val="24"/>
        </w:rPr>
        <w:t>7. Dos critérios de medição e de pagamento</w:t>
      </w:r>
    </w:p>
    <w:p w:rsidR="00C53FEC" w:rsidRPr="00AC0EAB" w:rsidRDefault="00C53FEC" w:rsidP="00C53FEC">
      <w:pPr>
        <w:spacing w:after="160" w:line="300" w:lineRule="auto"/>
        <w:jc w:val="both"/>
        <w:rPr>
          <w:rFonts w:ascii="Arial" w:eastAsiaTheme="minorHAnsi" w:hAnsi="Arial" w:cs="Arial"/>
          <w:color w:val="000000"/>
          <w:sz w:val="24"/>
          <w:szCs w:val="24"/>
        </w:rPr>
      </w:pPr>
      <w:r w:rsidRPr="00AC0EAB">
        <w:rPr>
          <w:rFonts w:ascii="Arial" w:eastAsiaTheme="minorHAnsi" w:hAnsi="Arial" w:cs="Arial"/>
          <w:color w:val="000000"/>
          <w:sz w:val="24"/>
          <w:szCs w:val="24"/>
        </w:rPr>
        <w:t>7.1. A avaliação da execução do objeto utilizará a aceite, atesto ou recebimento, ainda que por e-mail, sem qualquer oposição, da nota fiscal com a descrição dos serviços prestados;</w:t>
      </w:r>
    </w:p>
    <w:p w:rsidR="00C53FEC" w:rsidRPr="00AC0EAB" w:rsidRDefault="00C53FEC" w:rsidP="00C53FEC">
      <w:pPr>
        <w:spacing w:before="100" w:beforeAutospacing="1" w:after="100" w:afterAutospacing="1"/>
        <w:jc w:val="both"/>
        <w:rPr>
          <w:rFonts w:ascii="Arial" w:eastAsiaTheme="minorHAnsi" w:hAnsi="Arial" w:cs="Arial"/>
          <w:color w:val="000000"/>
          <w:sz w:val="24"/>
          <w:szCs w:val="24"/>
        </w:rPr>
      </w:pPr>
      <w:r w:rsidRPr="00AC0EAB">
        <w:rPr>
          <w:rFonts w:ascii="Arial" w:eastAsiaTheme="minorHAnsi" w:hAnsi="Arial" w:cs="Arial"/>
          <w:color w:val="000000"/>
          <w:sz w:val="24"/>
          <w:szCs w:val="24"/>
        </w:rPr>
        <w:t>7.2.O valor total da prestação de artistica musical é de R$</w:t>
      </w:r>
      <w:r>
        <w:rPr>
          <w:rFonts w:ascii="Arial" w:eastAsiaTheme="minorHAnsi" w:hAnsi="Arial" w:cs="Arial"/>
          <w:color w:val="000000"/>
          <w:sz w:val="24"/>
          <w:szCs w:val="24"/>
        </w:rPr>
        <w:t>1.50</w:t>
      </w:r>
      <w:r w:rsidRPr="00AC0EAB">
        <w:rPr>
          <w:rFonts w:ascii="Arial" w:eastAsiaTheme="minorHAnsi" w:hAnsi="Arial" w:cs="Arial"/>
          <w:color w:val="000000"/>
          <w:sz w:val="24"/>
          <w:szCs w:val="24"/>
        </w:rPr>
        <w:t xml:space="preserve">0,00, </w:t>
      </w:r>
      <w:r>
        <w:rPr>
          <w:rFonts w:ascii="Arial" w:hAnsi="Arial" w:cs="Arial"/>
          <w:sz w:val="24"/>
          <w:szCs w:val="24"/>
        </w:rPr>
        <w:t xml:space="preserve"> o pagamento será realizado </w:t>
      </w:r>
      <w:r w:rsidRPr="00AE10CB">
        <w:rPr>
          <w:rFonts w:ascii="Arial" w:hAnsi="Arial" w:cs="Arial"/>
          <w:sz w:val="24"/>
          <w:szCs w:val="24"/>
        </w:rPr>
        <w:t>em até 30 dias a partir da apresentação formal das notas fiscais/faturas ou recibos devidamente atestados e aferidos pelo setor</w:t>
      </w:r>
      <w:r w:rsidRPr="00AC0EAB">
        <w:rPr>
          <w:rFonts w:ascii="Arial" w:hAnsi="Arial" w:cs="Arial"/>
          <w:sz w:val="24"/>
          <w:szCs w:val="24"/>
        </w:rPr>
        <w:t xml:space="preserve"> </w:t>
      </w:r>
      <w:r w:rsidRPr="00AC0EAB">
        <w:rPr>
          <w:rFonts w:ascii="Arial" w:hAnsi="Arial" w:cs="Arial"/>
          <w:sz w:val="24"/>
          <w:szCs w:val="24"/>
        </w:rPr>
        <w:lastRenderedPageBreak/>
        <w:t>competente e em conformidade com as condições e das ordens de serviço emitidas;</w:t>
      </w:r>
    </w:p>
    <w:p w:rsidR="00C53FEC" w:rsidRPr="00AC0EAB" w:rsidRDefault="00C53FEC" w:rsidP="00C53FEC">
      <w:pPr>
        <w:spacing w:after="160" w:line="300" w:lineRule="auto"/>
        <w:jc w:val="both"/>
        <w:rPr>
          <w:rFonts w:ascii="Arial" w:hAnsi="Arial" w:cs="Arial"/>
          <w:color w:val="000000"/>
          <w:sz w:val="24"/>
          <w:szCs w:val="24"/>
        </w:rPr>
      </w:pPr>
      <w:r w:rsidRPr="00AC0EAB">
        <w:rPr>
          <w:rFonts w:ascii="Arial" w:hAnsi="Arial" w:cs="Arial"/>
          <w:color w:val="000000"/>
          <w:sz w:val="24"/>
          <w:szCs w:val="24"/>
        </w:rPr>
        <w:t>7.3.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7.4. O pagamento devido pelo Contratante será efetuado por meio ordem bancária, para crédito em banco, agência e conta corrente indicados pelo(a) contratante, ou, eventualmente, por outra forma que vier a ser convencionada entre as partes.</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 xml:space="preserve">7.5. Será considerada data do pagamento o dia em que constar como emitida a ordem bancária para pagamento. </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7.6. Paga a importância discriminada na nota fiscal, o(a) Contratado(a) dará ao contratante plena, geral e irretratável quitação dos valores nela discriminados, para nada mais vir a reclamar ou exigir a qualquer título, tempo ou forma.</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7.7. Todo pagamento que vier a ser considerado contratualmente indevido será objeto de ajuste nos pagamentos futuros, quando devidos, ou cobrados diretamente do(a) Contratado(a).</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7.8. Deverão ser excluídas do faturamento todas e quaisquer ocorrências que não forem de responsabilidade do contratante, assim como aquelas que não correspondem a bens entregues.</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7.9. Os documentos comprobatórios dos pagamentos relativos a tributos, encargos ou contribuições de responsabilidade do(a) Contratado(a), deverão ser enviados ao contratante mensalmente.</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7.10. O(A) Contratado(a) deverá prestar os serviços e acompanhado da correspondente nota fiscal.</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 xml:space="preserve">7.11. A nota fiscal deverá ser emitida pelo(a) Contratado(a) em inteira conformidade com as exigências legais e contratuais, especialmente as de natureza fiscal, com destaque, quando exigíveis, das retenções tributárias ou </w:t>
      </w:r>
      <w:r w:rsidRPr="00AC0EAB">
        <w:rPr>
          <w:rFonts w:ascii="Arial" w:hAnsi="Arial" w:cs="Arial"/>
          <w:sz w:val="24"/>
          <w:szCs w:val="24"/>
        </w:rPr>
        <w:lastRenderedPageBreak/>
        <w:t>previdenciárias.</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7.12. Antes de cada pagamento a(o) Contratado(a) será realizada consulta para verificar a manutenção das regularidades fiscal, social e trabalhista.</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color w:val="000000"/>
          <w:sz w:val="24"/>
          <w:szCs w:val="24"/>
        </w:rPr>
        <w:t>7.13.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7.14.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7.15. Persistindo a irregularidade, o Contratante deverá adotar as medidas necessárias à rescisão contratual nos autos do processo administrativo correspondente, assegurada à contratada a ampla defesa. </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7.16. Havendo a efetiva execução do objeto, os pagamentos serão realizados normalmente, até que se decida pela rescisão do contrato administrativo, caso o(a) Contratado(a) não regularize sua situação.  </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color w:val="000000"/>
          <w:sz w:val="24"/>
          <w:szCs w:val="24"/>
        </w:rPr>
        <w:t>7.17. Somente por motivo de economicidade ou outro interesse público de alta relevância, devidamente justificado, em qualquer caso, pelo(a) Prefeito(a) Municipal, não será rescindido o contrato administrativo em execução com a contratada inadimplente.</w:t>
      </w:r>
    </w:p>
    <w:p w:rsidR="00C53FEC" w:rsidRPr="00AC0EAB" w:rsidRDefault="00C53FEC" w:rsidP="00C53FEC">
      <w:pPr>
        <w:spacing w:after="160" w:line="300" w:lineRule="auto"/>
        <w:ind w:right="-17"/>
        <w:jc w:val="both"/>
        <w:rPr>
          <w:rFonts w:ascii="Arial" w:hAnsi="Arial" w:cs="Arial"/>
          <w:sz w:val="24"/>
          <w:szCs w:val="24"/>
        </w:rPr>
      </w:pPr>
      <w:r w:rsidRPr="00AC0EAB">
        <w:rPr>
          <w:rFonts w:ascii="Arial" w:hAnsi="Arial" w:cs="Arial"/>
          <w:sz w:val="24"/>
          <w:szCs w:val="24"/>
        </w:rPr>
        <w:t xml:space="preserve">7.18. </w:t>
      </w:r>
      <w:r w:rsidRPr="00AC0EAB">
        <w:rPr>
          <w:rFonts w:ascii="Arial" w:hAnsi="Arial" w:cs="Arial"/>
          <w:color w:val="000000"/>
          <w:sz w:val="24"/>
          <w:szCs w:val="24"/>
        </w:rPr>
        <w:t>Quando do pagamento, será efetuada a retenção tributária prevista na legislação aplicável.</w:t>
      </w:r>
    </w:p>
    <w:p w:rsidR="00C53FEC" w:rsidRDefault="00C53FEC" w:rsidP="00C53FEC">
      <w:pPr>
        <w:spacing w:after="160" w:line="300" w:lineRule="auto"/>
        <w:ind w:right="-17"/>
        <w:jc w:val="both"/>
        <w:rPr>
          <w:rFonts w:ascii="Arial" w:hAnsi="Arial" w:cs="Arial"/>
          <w:color w:val="000000"/>
          <w:sz w:val="24"/>
          <w:szCs w:val="24"/>
        </w:rPr>
      </w:pPr>
      <w:r w:rsidRPr="00AC0EAB">
        <w:rPr>
          <w:rFonts w:ascii="Arial" w:hAnsi="Arial" w:cs="Arial"/>
          <w:color w:val="000000"/>
          <w:sz w:val="24"/>
          <w:szCs w:val="24"/>
        </w:rPr>
        <w:t>7.19.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C53FEC" w:rsidRDefault="00C53FEC" w:rsidP="00C53FEC">
      <w:pPr>
        <w:spacing w:after="160" w:line="300" w:lineRule="auto"/>
        <w:ind w:right="-17"/>
        <w:jc w:val="both"/>
        <w:rPr>
          <w:rFonts w:ascii="Arial" w:hAnsi="Arial" w:cs="Arial"/>
          <w:b/>
          <w:color w:val="000000"/>
          <w:sz w:val="24"/>
          <w:szCs w:val="24"/>
        </w:rPr>
      </w:pPr>
      <w:r w:rsidRPr="00AE10CB">
        <w:rPr>
          <w:rFonts w:ascii="Arial" w:hAnsi="Arial" w:cs="Arial"/>
          <w:b/>
          <w:color w:val="000000"/>
          <w:sz w:val="24"/>
          <w:szCs w:val="24"/>
        </w:rPr>
        <w:t>8.DA JUSTIFICATIVA</w:t>
      </w:r>
    </w:p>
    <w:p w:rsidR="00C53FEC" w:rsidRPr="00AE10CB" w:rsidRDefault="00C53FEC" w:rsidP="00C53FEC">
      <w:pPr>
        <w:spacing w:after="160" w:line="300" w:lineRule="auto"/>
        <w:ind w:right="-17"/>
        <w:jc w:val="both"/>
        <w:rPr>
          <w:rFonts w:ascii="Arial" w:hAnsi="Arial" w:cs="Arial"/>
          <w:b/>
          <w:color w:val="000000"/>
          <w:sz w:val="24"/>
          <w:szCs w:val="24"/>
        </w:rPr>
      </w:pPr>
      <w:r>
        <w:rPr>
          <w:rFonts w:ascii="Arial" w:hAnsi="Arial" w:cs="Arial"/>
          <w:b/>
          <w:color w:val="000000"/>
          <w:sz w:val="24"/>
          <w:szCs w:val="24"/>
        </w:rPr>
        <w:lastRenderedPageBreak/>
        <w:t xml:space="preserve">8.1. </w:t>
      </w:r>
      <w:r w:rsidRPr="00AE10CB">
        <w:rPr>
          <w:rFonts w:ascii="Arial" w:hAnsi="Arial" w:cs="Arial"/>
          <w:color w:val="000000"/>
          <w:sz w:val="24"/>
          <w:szCs w:val="24"/>
        </w:rPr>
        <w:t>Justifica-se que pelo p</w:t>
      </w:r>
      <w:r w:rsidRPr="00AE10CB">
        <w:rPr>
          <w:rFonts w:ascii="Arial" w:hAnsi="Arial" w:cs="Arial"/>
          <w:color w:val="000000"/>
          <w:sz w:val="24"/>
          <w:szCs w:val="24"/>
          <w:shd w:val="clear" w:color="auto" w:fill="FFFFFF"/>
        </w:rPr>
        <w:t>ensando no bem-estar e na energia dos nossos queridos idosos, optamos por um show de duração mais curta, de duas horas e meia, para garantir que todos possam aproveitar a música com alegria, sem se cansar demais. Assim, conseguimos proporcionar uma experiência divertida e segura para todos, com muita animação e conforto</w:t>
      </w:r>
      <w:r>
        <w:rPr>
          <w:rFonts w:ascii="Arial" w:hAnsi="Arial" w:cs="Arial"/>
          <w:color w:val="000000"/>
          <w:sz w:val="24"/>
          <w:szCs w:val="24"/>
          <w:shd w:val="clear" w:color="auto" w:fill="FFFFFF"/>
        </w:rPr>
        <w:t>.</w:t>
      </w:r>
    </w:p>
    <w:p w:rsidR="00C53FEC" w:rsidRPr="00AC0EAB" w:rsidRDefault="00C53FEC" w:rsidP="00C53FEC">
      <w:pPr>
        <w:spacing w:after="160" w:line="300" w:lineRule="auto"/>
        <w:jc w:val="both"/>
        <w:rPr>
          <w:rFonts w:ascii="Arial" w:eastAsiaTheme="minorHAnsi" w:hAnsi="Arial" w:cs="Arial"/>
          <w:b/>
          <w:color w:val="000000"/>
          <w:sz w:val="24"/>
          <w:szCs w:val="24"/>
        </w:rPr>
      </w:pPr>
      <w:r>
        <w:rPr>
          <w:rFonts w:ascii="Arial" w:eastAsiaTheme="minorHAnsi" w:hAnsi="Arial" w:cs="Arial"/>
          <w:b/>
          <w:color w:val="000000"/>
          <w:sz w:val="24"/>
          <w:szCs w:val="24"/>
        </w:rPr>
        <w:t>9</w:t>
      </w:r>
      <w:r w:rsidRPr="00AC0EAB">
        <w:rPr>
          <w:rFonts w:ascii="Arial" w:eastAsiaTheme="minorHAnsi" w:hAnsi="Arial" w:cs="Arial"/>
          <w:b/>
          <w:color w:val="000000"/>
          <w:sz w:val="24"/>
          <w:szCs w:val="24"/>
        </w:rPr>
        <w:t>. Da forma e critérios de seleção do(a) fornecedor(a)</w:t>
      </w:r>
    </w:p>
    <w:p w:rsidR="00C53FEC" w:rsidRPr="00AC0EAB" w:rsidRDefault="00C53FEC" w:rsidP="00C53FEC">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.1. O(A) fornecedor (a) </w:t>
      </w:r>
      <w:proofErr w:type="spellStart"/>
      <w:r w:rsidRPr="00AC0EAB">
        <w:rPr>
          <w:color w:val="auto"/>
          <w:sz w:val="24"/>
          <w:szCs w:val="24"/>
        </w:rPr>
        <w:t>sera</w:t>
      </w:r>
      <w:proofErr w:type="spellEnd"/>
      <w:r w:rsidRPr="00AC0EAB">
        <w:rPr>
          <w:color w:val="auto"/>
          <w:sz w:val="24"/>
          <w:szCs w:val="24"/>
        </w:rPr>
        <w:t xml:space="preserve"> selecionado por meio da realização de Inexigibilidade de Licitação Pública.</w:t>
      </w:r>
    </w:p>
    <w:p w:rsidR="00C53FEC" w:rsidRPr="00AC0EAB" w:rsidRDefault="00C53FEC" w:rsidP="00C53FEC">
      <w:pPr>
        <w:pStyle w:val="Nivel2"/>
        <w:spacing w:before="0" w:after="160" w:line="300" w:lineRule="auto"/>
        <w:rPr>
          <w:b/>
          <w:color w:val="auto"/>
          <w:sz w:val="24"/>
          <w:szCs w:val="24"/>
        </w:rPr>
      </w:pPr>
      <w:r>
        <w:rPr>
          <w:b/>
          <w:color w:val="auto"/>
          <w:sz w:val="24"/>
          <w:szCs w:val="24"/>
        </w:rPr>
        <w:t>9</w:t>
      </w:r>
      <w:r w:rsidRPr="00AC0EAB">
        <w:rPr>
          <w:b/>
          <w:color w:val="auto"/>
          <w:sz w:val="24"/>
          <w:szCs w:val="24"/>
        </w:rPr>
        <w:t>.2. Da Habilitação Jurídica:</w:t>
      </w:r>
    </w:p>
    <w:p w:rsidR="00C53FEC" w:rsidRPr="00AC0EAB" w:rsidRDefault="00C53FEC" w:rsidP="00C53FEC">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.2.1. Empresário individual: inscrição no </w:t>
      </w:r>
      <w:proofErr w:type="spellStart"/>
      <w:r w:rsidRPr="00AC0EAB">
        <w:rPr>
          <w:color w:val="auto"/>
          <w:sz w:val="24"/>
          <w:szCs w:val="24"/>
        </w:rPr>
        <w:t>Register</w:t>
      </w:r>
      <w:proofErr w:type="spellEnd"/>
      <w:r w:rsidRPr="00AC0EAB">
        <w:rPr>
          <w:color w:val="auto"/>
          <w:sz w:val="24"/>
          <w:szCs w:val="24"/>
        </w:rPr>
        <w:t xml:space="preserve"> Público de </w:t>
      </w:r>
      <w:proofErr w:type="spellStart"/>
      <w:r w:rsidRPr="00AC0EAB">
        <w:rPr>
          <w:color w:val="auto"/>
          <w:sz w:val="24"/>
          <w:szCs w:val="24"/>
        </w:rPr>
        <w:t>Empress’s</w:t>
      </w:r>
      <w:proofErr w:type="spellEnd"/>
      <w:r w:rsidRPr="00AC0EAB">
        <w:rPr>
          <w:color w:val="auto"/>
          <w:sz w:val="24"/>
          <w:szCs w:val="24"/>
        </w:rPr>
        <w:t xml:space="preserve"> Mercantis, a cargo da Junta Comercial respectiva;</w:t>
      </w:r>
    </w:p>
    <w:p w:rsidR="00C53FEC" w:rsidRPr="00AC0EAB" w:rsidRDefault="00C53FEC" w:rsidP="00C53FEC">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.2.2. Microempreendedor Individual – MEI: </w:t>
      </w:r>
      <w:proofErr w:type="spellStart"/>
      <w:r w:rsidRPr="00AC0EAB">
        <w:rPr>
          <w:color w:val="auto"/>
          <w:sz w:val="24"/>
          <w:szCs w:val="24"/>
        </w:rPr>
        <w:t>Certificatory</w:t>
      </w:r>
      <w:proofErr w:type="spellEnd"/>
      <w:r w:rsidRPr="00AC0EAB">
        <w:rPr>
          <w:color w:val="auto"/>
          <w:sz w:val="24"/>
          <w:szCs w:val="24"/>
        </w:rPr>
        <w:t xml:space="preserve"> da Condição de Microempreendedor Individual – CCMEI;</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 xml:space="preserve">.2.3. </w:t>
      </w:r>
      <w:r w:rsidRPr="00AC0EAB">
        <w:rPr>
          <w:rFonts w:ascii="Arial" w:hAnsi="Arial" w:cs="Arial"/>
          <w:bCs/>
          <w:sz w:val="24"/>
          <w:szCs w:val="24"/>
        </w:rPr>
        <w:t>Sociedade empresária, sociedade limitada unipessoal – SLU – ou sociedade identificada como empresa individual de responsabilidade limitada – EIRELI:</w:t>
      </w:r>
      <w:r w:rsidRPr="00AC0EAB">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.2.4. Sociedade empresária estrangeira com atuação permanente no país: Decreto de autorização para funcionamento no Brasil;</w:t>
      </w:r>
    </w:p>
    <w:p w:rsidR="00C53FEC" w:rsidRPr="00AC0EAB" w:rsidRDefault="00C53FEC" w:rsidP="00C53FEC">
      <w:pPr>
        <w:spacing w:after="160" w:line="300" w:lineRule="auto"/>
        <w:jc w:val="both"/>
        <w:rPr>
          <w:rFonts w:ascii="Arial" w:hAnsi="Arial" w:cs="Arial"/>
          <w:sz w:val="24"/>
          <w:szCs w:val="24"/>
        </w:rPr>
      </w:pPr>
      <w:r w:rsidRPr="00AC0EAB">
        <w:rPr>
          <w:rFonts w:ascii="Arial" w:hAnsi="Arial" w:cs="Arial"/>
          <w:sz w:val="24"/>
          <w:szCs w:val="24"/>
        </w:rPr>
        <w:t>8.2.5. Sociedade simples: inscrição do ato constitutivo no Registro Civil de Pessoas Jurídicas do local de sua sede, acompanhada de documento comprobatório de seus administradores;</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C53FEC" w:rsidRPr="00AC0EAB" w:rsidRDefault="00C53FEC" w:rsidP="00C53FEC">
      <w:pPr>
        <w:spacing w:after="160" w:line="300" w:lineRule="auto"/>
        <w:jc w:val="both"/>
        <w:rPr>
          <w:rFonts w:ascii="Arial" w:hAnsi="Arial" w:cs="Arial"/>
          <w:b/>
          <w:sz w:val="24"/>
          <w:szCs w:val="24"/>
        </w:rPr>
      </w:pPr>
      <w:r>
        <w:rPr>
          <w:rFonts w:ascii="Arial" w:hAnsi="Arial" w:cs="Arial"/>
          <w:sz w:val="24"/>
          <w:szCs w:val="24"/>
        </w:rPr>
        <w:t>9</w:t>
      </w:r>
      <w:r w:rsidRPr="00AC0EAB">
        <w:rPr>
          <w:rFonts w:ascii="Arial" w:hAnsi="Arial" w:cs="Arial"/>
          <w:sz w:val="24"/>
          <w:szCs w:val="24"/>
        </w:rPr>
        <w:t xml:space="preserve">.2.7. Cadastro de Pessoa Física – CPF – e Carteira de Identidade – </w:t>
      </w:r>
      <w:r w:rsidRPr="00AC0EAB">
        <w:rPr>
          <w:rFonts w:ascii="Arial" w:hAnsi="Arial" w:cs="Arial"/>
          <w:b/>
          <w:sz w:val="24"/>
          <w:szCs w:val="24"/>
        </w:rPr>
        <w:t>para licitante pessoa física;</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.2.8. Os documentos apresentados deverão estar acompanhados de todas as alterações ou da consolidação respectiva.</w:t>
      </w:r>
    </w:p>
    <w:p w:rsidR="00C53FEC" w:rsidRPr="00AC0EAB" w:rsidRDefault="00C53FEC" w:rsidP="00C53FEC">
      <w:pPr>
        <w:spacing w:after="160" w:line="300" w:lineRule="auto"/>
        <w:jc w:val="both"/>
        <w:rPr>
          <w:rFonts w:ascii="Arial" w:hAnsi="Arial" w:cs="Arial"/>
          <w:b/>
          <w:sz w:val="24"/>
          <w:szCs w:val="24"/>
        </w:rPr>
      </w:pPr>
      <w:r>
        <w:rPr>
          <w:rFonts w:ascii="Arial" w:hAnsi="Arial" w:cs="Arial"/>
          <w:b/>
          <w:sz w:val="24"/>
          <w:szCs w:val="24"/>
        </w:rPr>
        <w:lastRenderedPageBreak/>
        <w:t>10</w:t>
      </w:r>
      <w:r w:rsidRPr="00AC0EAB">
        <w:rPr>
          <w:rFonts w:ascii="Arial" w:hAnsi="Arial" w:cs="Arial"/>
          <w:b/>
          <w:sz w:val="24"/>
          <w:szCs w:val="24"/>
        </w:rPr>
        <w:t>.3. Da Habilitação fiscal, social e trabalhista:</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.3.1. Cadastro Nacional de Pessoa Jurídica – CNPJ </w:t>
      </w:r>
      <w:r w:rsidRPr="00AC0EAB">
        <w:rPr>
          <w:rFonts w:ascii="Arial" w:hAnsi="Arial" w:cs="Arial"/>
          <w:b/>
          <w:sz w:val="24"/>
          <w:szCs w:val="24"/>
        </w:rPr>
        <w:t>– dispensado para licitante pessoa física</w:t>
      </w:r>
      <w:r w:rsidRPr="00AC0EAB">
        <w:rPr>
          <w:rFonts w:ascii="Arial" w:hAnsi="Arial" w:cs="Arial"/>
          <w:sz w:val="24"/>
          <w:szCs w:val="24"/>
        </w:rPr>
        <w:t>;</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.3.2. Inscrição no cadastro de contribuintes estadual, relativo ao domicílio ou sede do(a) licitante, pertinente ao seu ramo de atividade e compatível com o objeto contratual;</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.3.3. Prova de regularidade perante a Fazenda Federal;</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.3.4. Prova de regularidade perante a Fazenda Estadual;</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.3.5. Prova de regularidade perante a Fazenda Municipal;</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.3.6. Prova de regularidade relativo à Seguridade Social e ao Fundo de Garantia de Tempo de Serviço – FGTS –, que demonstre cumprimento dos encargos sociais instituídos por lei </w:t>
      </w:r>
      <w:r w:rsidRPr="00AC0EAB">
        <w:rPr>
          <w:rFonts w:ascii="Arial" w:hAnsi="Arial" w:cs="Arial"/>
          <w:b/>
          <w:sz w:val="24"/>
          <w:szCs w:val="24"/>
        </w:rPr>
        <w:t>– dispensado para licitante pessoa física</w:t>
      </w:r>
      <w:r w:rsidRPr="00AC0EAB">
        <w:rPr>
          <w:rFonts w:ascii="Arial" w:hAnsi="Arial" w:cs="Arial"/>
          <w:sz w:val="24"/>
          <w:szCs w:val="24"/>
        </w:rPr>
        <w:t>;</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.3.7. Prova de regularidade perante a Justiça do Trabalho;</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.3.8. Cumprimento do disposto no inciso XXXIII do art. 7º da Constituição da República de 1988 – CR88. </w:t>
      </w:r>
    </w:p>
    <w:p w:rsidR="00C53FEC" w:rsidRPr="00AC0EAB" w:rsidRDefault="00C53FEC" w:rsidP="00C53FEC">
      <w:pPr>
        <w:pStyle w:val="Nivel2"/>
        <w:spacing w:before="0" w:after="160" w:line="300" w:lineRule="auto"/>
        <w:rPr>
          <w:b/>
          <w:color w:val="auto"/>
          <w:sz w:val="24"/>
          <w:szCs w:val="24"/>
        </w:rPr>
      </w:pPr>
      <w:r>
        <w:rPr>
          <w:b/>
          <w:color w:val="auto"/>
          <w:sz w:val="24"/>
          <w:szCs w:val="24"/>
        </w:rPr>
        <w:t>10</w:t>
      </w:r>
      <w:r w:rsidRPr="00AC0EAB">
        <w:rPr>
          <w:b/>
          <w:color w:val="auto"/>
          <w:sz w:val="24"/>
          <w:szCs w:val="24"/>
        </w:rPr>
        <w:t>.4. Da Habilitação do Artista/Banda:</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.4.1. Comprovante de desempenho profissional de apresentação (folders, imagens e outros documentos equivalente comprovando a capacidade artísticas).</w:t>
      </w:r>
    </w:p>
    <w:p w:rsidR="00C53FEC" w:rsidRPr="00AC0EAB" w:rsidRDefault="00C53FEC" w:rsidP="00C53FEC">
      <w:pPr>
        <w:pStyle w:val="Nivel2"/>
        <w:spacing w:before="0" w:after="160" w:line="300" w:lineRule="auto"/>
        <w:rPr>
          <w:b/>
          <w:color w:val="auto"/>
          <w:sz w:val="24"/>
          <w:szCs w:val="24"/>
        </w:rPr>
      </w:pPr>
      <w:r>
        <w:rPr>
          <w:b/>
          <w:color w:val="auto"/>
          <w:sz w:val="24"/>
          <w:szCs w:val="24"/>
        </w:rPr>
        <w:t>10</w:t>
      </w:r>
      <w:r w:rsidRPr="00AC0EAB">
        <w:rPr>
          <w:b/>
          <w:color w:val="auto"/>
          <w:sz w:val="24"/>
          <w:szCs w:val="24"/>
        </w:rPr>
        <w:t>.5. Habilitação econômico-financeira</w:t>
      </w:r>
    </w:p>
    <w:p w:rsidR="00C53FEC" w:rsidRPr="00AC0EAB" w:rsidRDefault="00C53FEC" w:rsidP="00C53FEC">
      <w:pPr>
        <w:pStyle w:val="Nivel2"/>
        <w:spacing w:before="0" w:after="160" w:line="300" w:lineRule="auto"/>
        <w:rPr>
          <w:color w:val="auto"/>
          <w:sz w:val="24"/>
          <w:szCs w:val="24"/>
        </w:rPr>
      </w:pPr>
      <w:r>
        <w:rPr>
          <w:color w:val="auto"/>
          <w:sz w:val="24"/>
          <w:szCs w:val="24"/>
        </w:rPr>
        <w:t>10</w:t>
      </w:r>
      <w:r w:rsidRPr="00AC0EAB">
        <w:rPr>
          <w:color w:val="auto"/>
          <w:sz w:val="24"/>
          <w:szCs w:val="24"/>
        </w:rPr>
        <w:t xml:space="preserve">.5.1. Certidão negativa de feitos </w:t>
      </w:r>
      <w:proofErr w:type="spellStart"/>
      <w:r w:rsidRPr="00AC0EAB">
        <w:rPr>
          <w:color w:val="auto"/>
          <w:sz w:val="24"/>
          <w:szCs w:val="24"/>
        </w:rPr>
        <w:t>sorbet</w:t>
      </w:r>
      <w:proofErr w:type="spellEnd"/>
      <w:r w:rsidRPr="00AC0EAB">
        <w:rPr>
          <w:color w:val="auto"/>
          <w:sz w:val="24"/>
          <w:szCs w:val="24"/>
        </w:rPr>
        <w:t xml:space="preserve"> falência expedida pelo distribuidor da sede </w:t>
      </w:r>
      <w:r>
        <w:rPr>
          <w:color w:val="auto"/>
          <w:sz w:val="24"/>
          <w:szCs w:val="24"/>
        </w:rPr>
        <w:t>10</w:t>
      </w:r>
      <w:r w:rsidRPr="00AC0EAB">
        <w:rPr>
          <w:color w:val="auto"/>
          <w:sz w:val="24"/>
          <w:szCs w:val="24"/>
        </w:rPr>
        <w:t xml:space="preserve">8.6. Se o(a) licitante for a matriz, todos os documentos deverão estar em </w:t>
      </w:r>
      <w:bookmarkStart w:id="0" w:name="_GoBack"/>
      <w:bookmarkEnd w:id="0"/>
      <w:r w:rsidRPr="00AC0EAB">
        <w:rPr>
          <w:color w:val="auto"/>
          <w:sz w:val="24"/>
          <w:szCs w:val="24"/>
        </w:rPr>
        <w:t xml:space="preserve">nome da matriz, e se a licitante for a filial, todos os documentos deverão estar em nome da filial, exceto para atestados de capacidade técnica, caso exigidos, </w:t>
      </w:r>
      <w:r w:rsidRPr="00AC0EAB">
        <w:rPr>
          <w:color w:val="auto"/>
          <w:sz w:val="24"/>
          <w:szCs w:val="24"/>
        </w:rPr>
        <w:lastRenderedPageBreak/>
        <w:t>e no caso daqueles documentos que, pela própria natureza, comprovadamente, forem emitidos somente em nome da matriz.</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.8. Os documentos de habilitação poderá ser:</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.9.1. apresentada em original, por cópia ou por qualquer outro meio expressamente admitido pela Administração;</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.9.2. substituída por registro cadastral emitido pela Administração, desde que o registro tenha sido feito em obediência ao disposta na Lei nº. 14.133/2021.</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.9.3. As ME’s e EPP’s, por ocasião da participação nesta Inexigibilidade de Licitação Pública, deverá apresentar toda a documentação exigida para efeito de comprovação de regularidade fiscal e trabalhista, mesmo que estas apresentem alguma restrição.</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C53FEC" w:rsidRPr="00AC0EAB" w:rsidRDefault="00C53FEC" w:rsidP="00C53FEC">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.9.3.2. A não regularização da documentação, no prazo previsto no item 8.9.3.1., implicará a decadência do direito à contratação, sem prejuízo das sanções previstas na Lei nº. 14.133/2021. </w:t>
      </w:r>
    </w:p>
    <w:p w:rsidR="00C53FEC" w:rsidRPr="00AC0EAB" w:rsidRDefault="00C53FEC" w:rsidP="00C53FEC">
      <w:pPr>
        <w:spacing w:after="160" w:line="300" w:lineRule="auto"/>
        <w:jc w:val="both"/>
        <w:rPr>
          <w:rFonts w:ascii="Arial" w:eastAsiaTheme="minorHAnsi" w:hAnsi="Arial" w:cs="Arial"/>
          <w:b/>
          <w:sz w:val="24"/>
          <w:szCs w:val="24"/>
        </w:rPr>
      </w:pPr>
      <w:r>
        <w:rPr>
          <w:rFonts w:ascii="Arial" w:eastAsiaTheme="minorHAnsi" w:hAnsi="Arial" w:cs="Arial"/>
          <w:b/>
          <w:sz w:val="24"/>
          <w:szCs w:val="24"/>
        </w:rPr>
        <w:t>11</w:t>
      </w:r>
      <w:r w:rsidRPr="00AC0EAB">
        <w:rPr>
          <w:rFonts w:ascii="Arial" w:eastAsiaTheme="minorHAnsi" w:hAnsi="Arial" w:cs="Arial"/>
          <w:b/>
          <w:sz w:val="24"/>
          <w:szCs w:val="24"/>
        </w:rPr>
        <w:t>. Da estimativa do valor da contratação administrativa</w:t>
      </w:r>
    </w:p>
    <w:p w:rsidR="00C53FEC" w:rsidRPr="00AC0EAB" w:rsidRDefault="00C53FEC" w:rsidP="00C53FEC">
      <w:pPr>
        <w:pStyle w:val="Nivel2"/>
        <w:spacing w:before="0" w:after="160" w:line="300" w:lineRule="auto"/>
        <w:rPr>
          <w:color w:val="FF0000"/>
          <w:sz w:val="24"/>
          <w:szCs w:val="24"/>
        </w:rPr>
      </w:pPr>
      <w:r>
        <w:rPr>
          <w:sz w:val="24"/>
          <w:szCs w:val="24"/>
        </w:rPr>
        <w:t>11</w:t>
      </w:r>
      <w:r w:rsidRPr="00AC0EAB">
        <w:rPr>
          <w:sz w:val="24"/>
          <w:szCs w:val="24"/>
        </w:rPr>
        <w:t>.1. A estimativa do valor da contratação administrativa está no ETP (inciso VI do § 1º do art. 18 da Lei nº. 14.133/2021).</w:t>
      </w:r>
    </w:p>
    <w:p w:rsidR="00C53FEC" w:rsidRPr="00AC0EAB" w:rsidRDefault="00C53FEC" w:rsidP="00C53FEC">
      <w:pPr>
        <w:spacing w:after="160" w:line="300" w:lineRule="auto"/>
        <w:jc w:val="both"/>
        <w:rPr>
          <w:rFonts w:ascii="Arial" w:eastAsiaTheme="minorHAnsi" w:hAnsi="Arial" w:cs="Arial"/>
          <w:b/>
          <w:color w:val="000000"/>
          <w:sz w:val="24"/>
          <w:szCs w:val="24"/>
        </w:rPr>
      </w:pPr>
      <w:r>
        <w:rPr>
          <w:rFonts w:ascii="Arial" w:eastAsiaTheme="minorHAnsi" w:hAnsi="Arial" w:cs="Arial"/>
          <w:b/>
          <w:color w:val="000000"/>
          <w:sz w:val="24"/>
          <w:szCs w:val="24"/>
        </w:rPr>
        <w:t>12</w:t>
      </w:r>
      <w:r w:rsidRPr="00AC0EAB">
        <w:rPr>
          <w:rFonts w:ascii="Arial" w:eastAsiaTheme="minorHAnsi" w:hAnsi="Arial" w:cs="Arial"/>
          <w:b/>
          <w:color w:val="000000"/>
          <w:sz w:val="24"/>
          <w:szCs w:val="24"/>
        </w:rPr>
        <w:t>. Da adequação orçamentária</w:t>
      </w:r>
    </w:p>
    <w:p w:rsidR="00C53FEC" w:rsidRPr="00AC0EAB" w:rsidRDefault="00C53FEC" w:rsidP="00C53FEC">
      <w:pPr>
        <w:spacing w:after="160" w:line="300" w:lineRule="auto"/>
        <w:jc w:val="both"/>
        <w:rPr>
          <w:rFonts w:ascii="Arial" w:eastAsiaTheme="minorHAnsi" w:hAnsi="Arial" w:cs="Arial"/>
          <w:color w:val="000000"/>
          <w:sz w:val="24"/>
          <w:szCs w:val="24"/>
        </w:rPr>
      </w:pPr>
      <w:r w:rsidRPr="00AC0EAB">
        <w:rPr>
          <w:rFonts w:ascii="Arial" w:eastAsiaTheme="minorHAnsi" w:hAnsi="Arial" w:cs="Arial"/>
          <w:color w:val="000000"/>
          <w:sz w:val="24"/>
          <w:szCs w:val="24"/>
        </w:rPr>
        <w:t>1</w:t>
      </w:r>
      <w:r>
        <w:rPr>
          <w:rFonts w:ascii="Arial" w:eastAsiaTheme="minorHAnsi" w:hAnsi="Arial" w:cs="Arial"/>
          <w:color w:val="000000"/>
          <w:sz w:val="24"/>
          <w:szCs w:val="24"/>
        </w:rPr>
        <w:t>2</w:t>
      </w:r>
      <w:r w:rsidRPr="00AC0EAB">
        <w:rPr>
          <w:rFonts w:ascii="Arial" w:eastAsiaTheme="minorHAnsi" w:hAnsi="Arial" w:cs="Arial"/>
          <w:color w:val="000000"/>
          <w:sz w:val="24"/>
          <w:szCs w:val="24"/>
        </w:rPr>
        <w:t xml:space="preserve">.1. As despesas decorrentes desta contratação administrativa correrão à conta </w:t>
      </w:r>
      <w:r w:rsidRPr="00AC0EAB">
        <w:rPr>
          <w:rFonts w:ascii="Arial" w:eastAsiaTheme="minorHAnsi" w:hAnsi="Arial" w:cs="Arial"/>
          <w:color w:val="000000"/>
          <w:sz w:val="24"/>
          <w:szCs w:val="24"/>
        </w:rPr>
        <w:lastRenderedPageBreak/>
        <w:t>de recursos específicos consignados no orçamento geral do Município de Santo Antônio do Grama.</w:t>
      </w:r>
    </w:p>
    <w:p w:rsidR="00C53FEC" w:rsidRDefault="00C53FEC" w:rsidP="00C53FEC">
      <w:pPr>
        <w:spacing w:after="160" w:line="300" w:lineRule="auto"/>
        <w:jc w:val="both"/>
        <w:rPr>
          <w:rFonts w:ascii="Arial" w:hAnsi="Arial" w:cs="Arial"/>
          <w:sz w:val="24"/>
          <w:szCs w:val="24"/>
        </w:rPr>
      </w:pPr>
      <w:r w:rsidRPr="00AC0EAB">
        <w:rPr>
          <w:rFonts w:ascii="Arial" w:hAnsi="Arial" w:cs="Arial"/>
          <w:sz w:val="24"/>
          <w:szCs w:val="24"/>
        </w:rPr>
        <w:t>1</w:t>
      </w:r>
      <w:r>
        <w:rPr>
          <w:rFonts w:ascii="Arial" w:hAnsi="Arial" w:cs="Arial"/>
          <w:sz w:val="24"/>
          <w:szCs w:val="24"/>
        </w:rPr>
        <w:t>2</w:t>
      </w:r>
      <w:r w:rsidRPr="00AC0EAB">
        <w:rPr>
          <w:rFonts w:ascii="Arial" w:hAnsi="Arial" w:cs="Arial"/>
          <w:sz w:val="24"/>
          <w:szCs w:val="24"/>
        </w:rPr>
        <w:t>.3. A dotação relativa aos exercícios financeiros subsequentes será indicada após aprovação da Lei Orçamentária respectiva e liberação dos créditos correspondentes, mediante apostilamento.</w:t>
      </w: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before="100" w:beforeAutospacing="1" w:after="100" w:afterAutospacing="1"/>
        <w:jc w:val="center"/>
        <w:rPr>
          <w:rFonts w:ascii="Arial" w:hAnsi="Arial" w:cs="Arial"/>
          <w:color w:val="FF0000"/>
          <w:sz w:val="24"/>
          <w:szCs w:val="24"/>
        </w:rPr>
      </w:pPr>
      <w:r>
        <w:rPr>
          <w:rFonts w:ascii="Arial" w:hAnsi="Arial" w:cs="Arial"/>
          <w:sz w:val="24"/>
          <w:szCs w:val="24"/>
        </w:rPr>
        <w:t>Santo Antônio do Grama, 03</w:t>
      </w:r>
      <w:r w:rsidRPr="00AC0EAB">
        <w:rPr>
          <w:rFonts w:ascii="Arial" w:hAnsi="Arial" w:cs="Arial"/>
          <w:sz w:val="24"/>
          <w:szCs w:val="24"/>
        </w:rPr>
        <w:t xml:space="preserve"> de </w:t>
      </w:r>
      <w:r>
        <w:rPr>
          <w:rFonts w:ascii="Arial" w:hAnsi="Arial" w:cs="Arial"/>
          <w:sz w:val="24"/>
          <w:szCs w:val="24"/>
        </w:rPr>
        <w:t>junho</w:t>
      </w:r>
      <w:r w:rsidRPr="00AC0EAB">
        <w:rPr>
          <w:rFonts w:ascii="Arial" w:hAnsi="Arial" w:cs="Arial"/>
          <w:sz w:val="24"/>
          <w:szCs w:val="24"/>
        </w:rPr>
        <w:t xml:space="preserve"> de 2025</w:t>
      </w:r>
      <w:r w:rsidRPr="00AC0EAB">
        <w:rPr>
          <w:rFonts w:ascii="Arial" w:hAnsi="Arial" w:cs="Arial"/>
          <w:color w:val="FF0000"/>
          <w:sz w:val="24"/>
          <w:szCs w:val="24"/>
        </w:rPr>
        <w:t>.</w:t>
      </w:r>
    </w:p>
    <w:p w:rsidR="00C53FEC" w:rsidRPr="00AC0EAB" w:rsidRDefault="00C53FEC" w:rsidP="00C53FEC">
      <w:pPr>
        <w:spacing w:before="100" w:beforeAutospacing="1" w:after="100" w:afterAutospacing="1"/>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before="100" w:beforeAutospacing="1" w:after="100" w:afterAutospacing="1"/>
        <w:jc w:val="both"/>
        <w:rPr>
          <w:rFonts w:ascii="Arial" w:hAnsi="Arial" w:cs="Arial"/>
          <w:sz w:val="24"/>
          <w:szCs w:val="24"/>
        </w:rPr>
      </w:pPr>
    </w:p>
    <w:p w:rsidR="00C53FEC" w:rsidRPr="00A91186" w:rsidRDefault="00C53FEC" w:rsidP="00C53FEC">
      <w:pPr>
        <w:jc w:val="center"/>
        <w:rPr>
          <w:rFonts w:ascii="Century Gothic" w:hAnsi="Century Gothic"/>
        </w:rPr>
      </w:pPr>
    </w:p>
    <w:p w:rsidR="00C53FEC" w:rsidRPr="00EF73CB" w:rsidRDefault="00C53FEC" w:rsidP="00C53FEC">
      <w:pPr>
        <w:jc w:val="center"/>
        <w:rPr>
          <w:rFonts w:ascii="Arial" w:hAnsi="Arial" w:cs="Arial"/>
          <w:b/>
          <w:color w:val="333333"/>
          <w:sz w:val="21"/>
          <w:szCs w:val="21"/>
          <w:shd w:val="clear" w:color="auto" w:fill="F9F9F9"/>
        </w:rPr>
      </w:pPr>
      <w:r w:rsidRPr="00EF73CB">
        <w:rPr>
          <w:rFonts w:ascii="Arial" w:hAnsi="Arial" w:cs="Arial"/>
          <w:b/>
          <w:color w:val="333333"/>
          <w:sz w:val="21"/>
          <w:szCs w:val="21"/>
          <w:shd w:val="clear" w:color="auto" w:fill="F9F9F9"/>
        </w:rPr>
        <w:t>DANIEL LEAL JANUARIO</w:t>
      </w:r>
    </w:p>
    <w:p w:rsidR="00C53FEC" w:rsidRPr="00A83DBD" w:rsidRDefault="00C53FEC" w:rsidP="00C53FEC">
      <w:pPr>
        <w:jc w:val="center"/>
        <w:rPr>
          <w:rFonts w:ascii="Century Gothic" w:hAnsi="Century Gothic"/>
          <w:b/>
        </w:rPr>
      </w:pPr>
      <w:r w:rsidRPr="00A83DBD">
        <w:rPr>
          <w:rFonts w:ascii="Century Gothic" w:hAnsi="Century Gothic"/>
          <w:b/>
        </w:rPr>
        <w:t xml:space="preserve">SECRETARIA MUNICIPAL DE </w:t>
      </w:r>
      <w:r>
        <w:rPr>
          <w:rFonts w:ascii="Century Gothic" w:hAnsi="Century Gothic"/>
          <w:b/>
        </w:rPr>
        <w:t>ASSISTÊNCIA SOCIAL</w:t>
      </w:r>
    </w:p>
    <w:p w:rsidR="00C53FEC" w:rsidRPr="00A83DBD" w:rsidRDefault="00C53FEC" w:rsidP="00C53FEC">
      <w:pPr>
        <w:jc w:val="center"/>
        <w:rPr>
          <w:rFonts w:ascii="Century Gothic" w:hAnsi="Century Gothic"/>
          <w:b/>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C53FEC" w:rsidRPr="00AC0EAB" w:rsidRDefault="00C53FEC" w:rsidP="00C53FEC">
      <w:pPr>
        <w:spacing w:after="160" w:line="300" w:lineRule="auto"/>
        <w:jc w:val="both"/>
        <w:rPr>
          <w:rFonts w:ascii="Arial" w:hAnsi="Arial" w:cs="Arial"/>
          <w:sz w:val="24"/>
          <w:szCs w:val="24"/>
        </w:rPr>
      </w:pPr>
    </w:p>
    <w:p w:rsidR="00B54E1A" w:rsidRDefault="00B54E1A"/>
    <w:sectPr w:rsidR="00B54E1A">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825" w:rsidRDefault="003D5825" w:rsidP="00C53FEC">
      <w:r>
        <w:separator/>
      </w:r>
    </w:p>
  </w:endnote>
  <w:endnote w:type="continuationSeparator" w:id="0">
    <w:p w:rsidR="003D5825" w:rsidRDefault="003D5825" w:rsidP="00C5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825" w:rsidRDefault="003D5825" w:rsidP="00C53FEC">
      <w:r>
        <w:separator/>
      </w:r>
    </w:p>
  </w:footnote>
  <w:footnote w:type="continuationSeparator" w:id="0">
    <w:p w:rsidR="003D5825" w:rsidRDefault="003D5825" w:rsidP="00C53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FEC" w:rsidRPr="005D50B3" w:rsidRDefault="00C53FEC" w:rsidP="00C53FEC">
    <w:pPr>
      <w:pStyle w:val="Cabealho"/>
      <w:jc w:val="center"/>
    </w:pPr>
    <w:r>
      <w:rPr>
        <w:noProof/>
        <w:lang w:val="pt-BR"/>
      </w:rPr>
      <w:drawing>
        <wp:anchor distT="0" distB="0" distL="114300" distR="114300" simplePos="0" relativeHeight="251660288" behindDoc="1" locked="0" layoutInCell="1" allowOverlap="1" wp14:anchorId="24BA0E4E" wp14:editId="10C37BFD">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59264" behindDoc="0" locked="0" layoutInCell="1" allowOverlap="1" wp14:anchorId="36784E7C" wp14:editId="4067C004">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C53FEC" w:rsidRDefault="00C53FEC" w:rsidP="00C53FEC">
    <w:pPr>
      <w:pStyle w:val="Cabealho"/>
    </w:pPr>
  </w:p>
  <w:p w:rsidR="00C53FEC" w:rsidRDefault="00C53FEC" w:rsidP="00C53FEC">
    <w:pPr>
      <w:pStyle w:val="Cabealho"/>
    </w:pPr>
  </w:p>
  <w:p w:rsidR="00C53FEC" w:rsidRDefault="00C53FEC" w:rsidP="00C53FEC">
    <w:pPr>
      <w:pStyle w:val="Cabealho"/>
    </w:pPr>
  </w:p>
  <w:p w:rsidR="00C53FEC" w:rsidRDefault="00C53FE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FEC"/>
    <w:rsid w:val="003D5825"/>
    <w:rsid w:val="00B54E1A"/>
    <w:rsid w:val="00C53F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8B97C-5563-4EAA-8E8E-C59D8D3D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FEC"/>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C53FEC"/>
    <w:rPr>
      <w:rFonts w:ascii="Arial" w:hAnsi="Arial" w:cs="Arial"/>
      <w:color w:val="000000"/>
    </w:rPr>
  </w:style>
  <w:style w:type="paragraph" w:customStyle="1" w:styleId="Nivel2">
    <w:name w:val="Nivel 2"/>
    <w:basedOn w:val="Normal"/>
    <w:link w:val="Nivel2Char"/>
    <w:qFormat/>
    <w:rsid w:val="00C53FEC"/>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C53FE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53FEC"/>
    <w:rPr>
      <w:rFonts w:ascii="Calibri" w:eastAsia="Calibri" w:hAnsi="Calibri" w:cs="Calibri"/>
      <w:lang w:val="pt-PT"/>
    </w:rPr>
  </w:style>
  <w:style w:type="paragraph" w:styleId="Rodap">
    <w:name w:val="footer"/>
    <w:basedOn w:val="Normal"/>
    <w:link w:val="RodapChar"/>
    <w:uiPriority w:val="99"/>
    <w:unhideWhenUsed/>
    <w:rsid w:val="00C53FEC"/>
    <w:pPr>
      <w:tabs>
        <w:tab w:val="center" w:pos="4252"/>
        <w:tab w:val="right" w:pos="8504"/>
      </w:tabs>
    </w:pPr>
  </w:style>
  <w:style w:type="character" w:customStyle="1" w:styleId="RodapChar">
    <w:name w:val="Rodapé Char"/>
    <w:basedOn w:val="Fontepargpadro"/>
    <w:link w:val="Rodap"/>
    <w:uiPriority w:val="99"/>
    <w:rsid w:val="00C53FEC"/>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2530</Words>
  <Characters>13668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2025-06-11T18:44:00Z</dcterms:created>
  <dcterms:modified xsi:type="dcterms:W3CDTF">2025-06-11T18:45:00Z</dcterms:modified>
</cp:coreProperties>
</file>